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142C" w:rsidRPr="00030BBF" w:rsidRDefault="00F5142C" w:rsidP="00F5142C">
      <w:pPr>
        <w:pStyle w:val="Titulo1"/>
        <w:pBdr>
          <w:bottom w:val="none" w:sz="0" w:space="0" w:color="auto"/>
        </w:pBdr>
        <w:spacing w:before="0"/>
        <w:jc w:val="center"/>
        <w:rPr>
          <w:rFonts w:ascii="Tahoma" w:hAnsi="Tahoma" w:cs="Tahoma"/>
          <w:color w:val="008000"/>
          <w:sz w:val="22"/>
          <w:szCs w:val="22"/>
        </w:rPr>
      </w:pPr>
      <w:r w:rsidRPr="00030BBF">
        <w:rPr>
          <w:rFonts w:ascii="Tahoma" w:hAnsi="Tahoma" w:cs="Tahoma"/>
          <w:color w:val="008000"/>
          <w:sz w:val="22"/>
          <w:szCs w:val="22"/>
        </w:rPr>
        <w:t>REGLAMENTO DE LA LEY DE OBRAS PÚBLICAS Y SERVICIOS RELACIONADOS CON LAS MISMAS</w:t>
      </w:r>
    </w:p>
    <w:p w:rsidR="00692AD0" w:rsidRDefault="00692AD0" w:rsidP="00692AD0">
      <w:pPr>
        <w:spacing w:after="64" w:line="240" w:lineRule="auto"/>
        <w:ind w:firstLine="288"/>
        <w:jc w:val="both"/>
        <w:rPr>
          <w:rFonts w:ascii="Arial" w:eastAsia="Times New Roman" w:hAnsi="Arial" w:cs="Arial"/>
          <w:b/>
          <w:sz w:val="18"/>
          <w:szCs w:val="24"/>
          <w:lang w:eastAsia="es-ES"/>
        </w:rPr>
      </w:pPr>
    </w:p>
    <w:p w:rsidR="009E4EBF" w:rsidRDefault="009E4EBF" w:rsidP="00692AD0">
      <w:pPr>
        <w:spacing w:after="64" w:line="240" w:lineRule="auto"/>
        <w:ind w:firstLine="288"/>
        <w:jc w:val="both"/>
        <w:rPr>
          <w:rFonts w:ascii="Arial" w:eastAsia="Times New Roman" w:hAnsi="Arial" w:cs="Arial"/>
          <w:b/>
          <w:sz w:val="18"/>
          <w:szCs w:val="24"/>
          <w:lang w:eastAsia="es-ES"/>
        </w:rPr>
      </w:pPr>
    </w:p>
    <w:p w:rsidR="009E4EBF" w:rsidRPr="009E4EBF" w:rsidRDefault="009E4EBF" w:rsidP="009E4EBF">
      <w:pPr>
        <w:spacing w:after="64" w:line="240" w:lineRule="auto"/>
        <w:ind w:firstLine="288"/>
        <w:jc w:val="both"/>
        <w:rPr>
          <w:rFonts w:ascii="Arial" w:eastAsia="Times New Roman" w:hAnsi="Arial" w:cs="Arial"/>
          <w:sz w:val="18"/>
          <w:szCs w:val="20"/>
          <w:lang w:val="es-ES" w:eastAsia="es-ES"/>
        </w:rPr>
      </w:pPr>
      <w:r w:rsidRPr="009E4EBF">
        <w:rPr>
          <w:rFonts w:ascii="Arial" w:eastAsia="Times New Roman" w:hAnsi="Arial" w:cs="Arial"/>
          <w:b/>
          <w:sz w:val="18"/>
          <w:szCs w:val="20"/>
          <w:lang w:val="es-ES" w:eastAsia="es-ES"/>
        </w:rPr>
        <w:t>Artículo 28.-</w:t>
      </w:r>
      <w:r w:rsidRPr="009E4EBF">
        <w:rPr>
          <w:rFonts w:ascii="Arial" w:eastAsia="Times New Roman" w:hAnsi="Arial" w:cs="Arial"/>
          <w:sz w:val="18"/>
          <w:szCs w:val="20"/>
          <w:lang w:val="es-ES" w:eastAsia="es-ES"/>
        </w:rPr>
        <w:t xml:space="preserve"> Las sesiones del Comité se celebrarán en los términos siguientes:</w:t>
      </w:r>
    </w:p>
    <w:p w:rsidR="009E4EBF" w:rsidRPr="009E4EBF" w:rsidRDefault="009E4EBF" w:rsidP="009E4EBF">
      <w:pPr>
        <w:spacing w:after="64" w:line="240" w:lineRule="auto"/>
        <w:ind w:left="864" w:hanging="576"/>
        <w:jc w:val="both"/>
        <w:rPr>
          <w:rFonts w:ascii="Arial" w:eastAsia="Times New Roman" w:hAnsi="Arial" w:cs="Arial"/>
          <w:sz w:val="18"/>
          <w:szCs w:val="20"/>
          <w:lang w:val="es-ES" w:eastAsia="es-ES"/>
        </w:rPr>
      </w:pPr>
      <w:r w:rsidRPr="009E4EBF">
        <w:rPr>
          <w:rFonts w:ascii="Arial" w:eastAsia="Times New Roman" w:hAnsi="Arial" w:cs="Arial"/>
          <w:b/>
          <w:sz w:val="18"/>
          <w:szCs w:val="20"/>
          <w:lang w:val="es-ES" w:eastAsia="es-ES"/>
        </w:rPr>
        <w:t>I.</w:t>
      </w:r>
      <w:r w:rsidRPr="009E4EBF">
        <w:rPr>
          <w:rFonts w:ascii="Arial" w:eastAsia="Times New Roman" w:hAnsi="Arial" w:cs="Arial"/>
          <w:b/>
          <w:sz w:val="18"/>
          <w:szCs w:val="20"/>
          <w:lang w:val="es-ES" w:eastAsia="es-ES"/>
        </w:rPr>
        <w:tab/>
      </w:r>
      <w:r w:rsidRPr="009E4EBF">
        <w:rPr>
          <w:rFonts w:ascii="Arial" w:eastAsia="Times New Roman" w:hAnsi="Arial" w:cs="Arial"/>
          <w:sz w:val="18"/>
          <w:szCs w:val="20"/>
          <w:lang w:val="es-ES" w:eastAsia="es-ES"/>
        </w:rPr>
        <w:t>Serán ordinarias aquéllas que estén programadas en el calendario anual de sesiones, las cuales se podrán cancelar cuando no existan asuntos a tratar.</w:t>
      </w:r>
    </w:p>
    <w:p w:rsidR="009E4EBF" w:rsidRPr="009E4EBF" w:rsidRDefault="009E4EBF" w:rsidP="009E4EBF">
      <w:pPr>
        <w:spacing w:after="64" w:line="240" w:lineRule="auto"/>
        <w:ind w:left="864" w:hanging="576"/>
        <w:jc w:val="both"/>
        <w:rPr>
          <w:rFonts w:ascii="Arial" w:eastAsia="Times New Roman" w:hAnsi="Arial" w:cs="Arial"/>
          <w:sz w:val="18"/>
          <w:szCs w:val="20"/>
          <w:lang w:val="es-ES" w:eastAsia="es-ES"/>
        </w:rPr>
      </w:pPr>
      <w:r w:rsidRPr="009E4EBF">
        <w:rPr>
          <w:rFonts w:ascii="Arial" w:eastAsia="Times New Roman" w:hAnsi="Arial" w:cs="Arial"/>
          <w:sz w:val="18"/>
          <w:szCs w:val="20"/>
          <w:lang w:val="es-ES" w:eastAsia="es-ES"/>
        </w:rPr>
        <w:tab/>
        <w:t>Serán extraordinarias las sesiones del Comité para tratar asuntos de carácter urgente debidamente justificados, previa solicitud formulada por el titular del Área requirente o del Área responsable de la contratación;</w:t>
      </w:r>
    </w:p>
    <w:p w:rsidR="009E4EBF" w:rsidRPr="009E4EBF" w:rsidRDefault="009E4EBF" w:rsidP="009E4EBF">
      <w:pPr>
        <w:spacing w:after="64" w:line="240" w:lineRule="auto"/>
        <w:ind w:left="864" w:hanging="576"/>
        <w:jc w:val="both"/>
        <w:rPr>
          <w:rFonts w:ascii="Arial" w:eastAsia="Times New Roman" w:hAnsi="Arial" w:cs="Arial"/>
          <w:sz w:val="18"/>
          <w:szCs w:val="20"/>
          <w:lang w:val="es-ES" w:eastAsia="es-ES"/>
        </w:rPr>
      </w:pPr>
      <w:r w:rsidRPr="009E4EBF">
        <w:rPr>
          <w:rFonts w:ascii="Arial" w:eastAsia="Times New Roman" w:hAnsi="Arial" w:cs="Arial"/>
          <w:b/>
          <w:sz w:val="18"/>
          <w:szCs w:val="20"/>
          <w:lang w:val="es-ES" w:eastAsia="es-ES"/>
        </w:rPr>
        <w:t>II.</w:t>
      </w:r>
      <w:r w:rsidRPr="009E4EBF">
        <w:rPr>
          <w:rFonts w:ascii="Arial" w:eastAsia="Times New Roman" w:hAnsi="Arial" w:cs="Arial"/>
          <w:b/>
          <w:sz w:val="18"/>
          <w:szCs w:val="20"/>
          <w:lang w:val="es-ES" w:eastAsia="es-ES"/>
        </w:rPr>
        <w:tab/>
      </w:r>
      <w:r w:rsidRPr="009E4EBF">
        <w:rPr>
          <w:rFonts w:ascii="Arial" w:eastAsia="Times New Roman" w:hAnsi="Arial" w:cs="Arial"/>
          <w:sz w:val="18"/>
          <w:szCs w:val="20"/>
          <w:lang w:val="es-ES" w:eastAsia="es-ES"/>
        </w:rPr>
        <w:t>Se llevarán a cabo cuando asista la mayoría de los miembros con derecho a voz y voto.</w:t>
      </w:r>
    </w:p>
    <w:p w:rsidR="009E4EBF" w:rsidRPr="009E4EBF" w:rsidRDefault="009E4EBF" w:rsidP="009E4EBF">
      <w:pPr>
        <w:spacing w:after="64" w:line="240" w:lineRule="auto"/>
        <w:ind w:left="864" w:hanging="576"/>
        <w:jc w:val="both"/>
        <w:rPr>
          <w:rFonts w:ascii="Arial" w:eastAsia="Times New Roman" w:hAnsi="Arial" w:cs="Arial"/>
          <w:sz w:val="18"/>
          <w:szCs w:val="20"/>
          <w:lang w:val="es-ES" w:eastAsia="es-ES"/>
        </w:rPr>
      </w:pPr>
      <w:r w:rsidRPr="009E4EBF">
        <w:rPr>
          <w:rFonts w:ascii="Arial" w:eastAsia="Times New Roman" w:hAnsi="Arial" w:cs="Arial"/>
          <w:sz w:val="18"/>
          <w:szCs w:val="20"/>
          <w:lang w:val="es-ES" w:eastAsia="es-ES"/>
        </w:rPr>
        <w:tab/>
        <w:t>Las decisiones y acuerdos del Comité se tomarán de manera colegiada por mayoría de votos de los miembros con derecho a voz y voto presentes en la sesión correspondiente y, en caso de empate, su presidente tendrá voto de calidad;</w:t>
      </w:r>
    </w:p>
    <w:p w:rsidR="009E4EBF" w:rsidRPr="009E4EBF" w:rsidRDefault="009E4EBF" w:rsidP="009E4EBF">
      <w:pPr>
        <w:spacing w:after="64" w:line="240" w:lineRule="auto"/>
        <w:ind w:left="864" w:hanging="576"/>
        <w:jc w:val="both"/>
        <w:rPr>
          <w:rFonts w:ascii="Arial" w:eastAsia="Times New Roman" w:hAnsi="Arial" w:cs="Arial"/>
          <w:sz w:val="18"/>
          <w:szCs w:val="20"/>
          <w:lang w:val="es-ES" w:eastAsia="es-ES"/>
        </w:rPr>
      </w:pPr>
      <w:r w:rsidRPr="009E4EBF">
        <w:rPr>
          <w:rFonts w:ascii="Arial" w:eastAsia="Times New Roman" w:hAnsi="Arial" w:cs="Arial"/>
          <w:b/>
          <w:sz w:val="18"/>
          <w:szCs w:val="20"/>
          <w:lang w:val="es-ES" w:eastAsia="es-ES"/>
        </w:rPr>
        <w:t>III.</w:t>
      </w:r>
      <w:r w:rsidRPr="009E4EBF">
        <w:rPr>
          <w:rFonts w:ascii="Arial" w:eastAsia="Times New Roman" w:hAnsi="Arial" w:cs="Arial"/>
          <w:b/>
          <w:sz w:val="18"/>
          <w:szCs w:val="20"/>
          <w:lang w:val="es-ES" w:eastAsia="es-ES"/>
        </w:rPr>
        <w:tab/>
      </w:r>
      <w:r w:rsidRPr="009E4EBF">
        <w:rPr>
          <w:rFonts w:ascii="Arial" w:eastAsia="Times New Roman" w:hAnsi="Arial" w:cs="Arial"/>
          <w:sz w:val="18"/>
          <w:szCs w:val="20"/>
          <w:lang w:val="es-ES" w:eastAsia="es-ES"/>
        </w:rPr>
        <w:t>Las sesiones sólo podrán llevarse a cabo cuando esté presente su presidente o su suplente;</w:t>
      </w:r>
    </w:p>
    <w:p w:rsidR="009E4EBF" w:rsidRPr="009E4EBF" w:rsidRDefault="009E4EBF" w:rsidP="009E4EBF">
      <w:pPr>
        <w:spacing w:after="64" w:line="240" w:lineRule="auto"/>
        <w:ind w:left="864" w:hanging="576"/>
        <w:jc w:val="both"/>
        <w:rPr>
          <w:rFonts w:ascii="Arial" w:eastAsia="Times New Roman" w:hAnsi="Arial" w:cs="Arial"/>
          <w:sz w:val="18"/>
          <w:szCs w:val="20"/>
          <w:lang w:val="es-ES" w:eastAsia="es-ES"/>
        </w:rPr>
      </w:pPr>
      <w:r w:rsidRPr="009E4EBF">
        <w:rPr>
          <w:rFonts w:ascii="Arial" w:eastAsia="Times New Roman" w:hAnsi="Arial" w:cs="Arial"/>
          <w:b/>
          <w:sz w:val="18"/>
          <w:szCs w:val="20"/>
          <w:lang w:val="es-ES" w:eastAsia="es-ES"/>
        </w:rPr>
        <w:t>IV.</w:t>
      </w:r>
      <w:r w:rsidRPr="009E4EBF">
        <w:rPr>
          <w:rFonts w:ascii="Arial" w:eastAsia="Times New Roman" w:hAnsi="Arial" w:cs="Arial"/>
          <w:b/>
          <w:sz w:val="18"/>
          <w:szCs w:val="20"/>
          <w:lang w:val="es-ES" w:eastAsia="es-ES"/>
        </w:rPr>
        <w:tab/>
      </w:r>
      <w:r w:rsidRPr="009E4EBF">
        <w:rPr>
          <w:rFonts w:ascii="Arial" w:eastAsia="Times New Roman" w:hAnsi="Arial" w:cs="Arial"/>
          <w:sz w:val="18"/>
          <w:szCs w:val="20"/>
          <w:lang w:val="es-ES" w:eastAsia="es-ES"/>
        </w:rPr>
        <w:t>La convocatoria de cada sesión, junto con el orden del día y los documentos correspondientes a cada asunto, se entregará en forma impresa o, de preferencia, por medios electrónicos a los participantes del Comité cuando menos con tres días hábiles de anticipación a la celebración de las sesiones ordinarias y con un día hábil de anticipación para las extraordinarias. La sesión sólo podrá llevarse a cabo cuando se cumplan los plazos indicados;</w:t>
      </w:r>
    </w:p>
    <w:p w:rsidR="009E4EBF" w:rsidRPr="009E4EBF" w:rsidRDefault="009E4EBF" w:rsidP="009E4EBF">
      <w:pPr>
        <w:spacing w:after="64" w:line="240" w:lineRule="auto"/>
        <w:ind w:left="864" w:hanging="576"/>
        <w:jc w:val="both"/>
        <w:rPr>
          <w:rFonts w:ascii="Arial" w:eastAsia="Times New Roman" w:hAnsi="Arial" w:cs="Arial"/>
          <w:sz w:val="18"/>
          <w:szCs w:val="20"/>
          <w:lang w:val="es-ES" w:eastAsia="es-ES"/>
        </w:rPr>
      </w:pPr>
      <w:r w:rsidRPr="009E4EBF">
        <w:rPr>
          <w:rFonts w:ascii="Arial" w:eastAsia="Times New Roman" w:hAnsi="Arial" w:cs="Arial"/>
          <w:b/>
          <w:sz w:val="18"/>
          <w:szCs w:val="20"/>
          <w:lang w:val="es-ES" w:eastAsia="es-ES"/>
        </w:rPr>
        <w:t>V.</w:t>
      </w:r>
      <w:r w:rsidRPr="009E4EBF">
        <w:rPr>
          <w:rFonts w:ascii="Arial" w:eastAsia="Times New Roman" w:hAnsi="Arial" w:cs="Arial"/>
          <w:b/>
          <w:sz w:val="18"/>
          <w:szCs w:val="20"/>
          <w:lang w:val="es-ES" w:eastAsia="es-ES"/>
        </w:rPr>
        <w:tab/>
      </w:r>
      <w:r w:rsidRPr="009E4EBF">
        <w:rPr>
          <w:rFonts w:ascii="Arial" w:eastAsia="Times New Roman" w:hAnsi="Arial" w:cs="Arial"/>
          <w:sz w:val="18"/>
          <w:szCs w:val="20"/>
          <w:lang w:val="es-ES" w:eastAsia="es-ES"/>
        </w:rPr>
        <w:t>Los asuntos que se sometan a consideración del Comité, deberán presentarse en el formato que el Comité considere conveniente, y tratándose de las solicitudes de excepción a la licitación pública invariablemente deberá contener un resumen de la información prevista en el artículo 73 de este Reglamento y la relación de la documentación soporte que se adjunte para cada caso.</w:t>
      </w:r>
    </w:p>
    <w:p w:rsidR="009E4EBF" w:rsidRPr="009E4EBF" w:rsidRDefault="009E4EBF" w:rsidP="009E4EBF">
      <w:pPr>
        <w:spacing w:after="64" w:line="240" w:lineRule="auto"/>
        <w:ind w:left="864" w:hanging="576"/>
        <w:jc w:val="both"/>
        <w:rPr>
          <w:rFonts w:ascii="Arial" w:eastAsia="Times New Roman" w:hAnsi="Arial" w:cs="Arial"/>
          <w:sz w:val="18"/>
          <w:szCs w:val="24"/>
          <w:lang w:val="es-ES" w:eastAsia="es-ES"/>
        </w:rPr>
      </w:pPr>
      <w:r w:rsidRPr="009E4EBF">
        <w:rPr>
          <w:rFonts w:ascii="Arial" w:eastAsia="Times New Roman" w:hAnsi="Arial" w:cs="Arial"/>
          <w:sz w:val="18"/>
          <w:szCs w:val="24"/>
          <w:lang w:val="es-ES" w:eastAsia="es-ES"/>
        </w:rPr>
        <w:tab/>
      </w:r>
      <w:r w:rsidRPr="00CE23C5">
        <w:rPr>
          <w:rFonts w:ascii="Arial" w:eastAsia="Times New Roman" w:hAnsi="Arial" w:cs="Arial"/>
          <w:b/>
          <w:i/>
          <w:sz w:val="18"/>
          <w:szCs w:val="24"/>
          <w:highlight w:val="yellow"/>
          <w:u w:val="single"/>
          <w:lang w:val="es-ES" w:eastAsia="es-ES"/>
        </w:rPr>
        <w:t>La solicitud de excepción a la licitación pública y la documentación soporte que quede como constancia de la contratación, deberán ser firmadas por el titular del Área requirente o Área técnica, según corresponda, con excepción del documento a que se refiere el artículo 73 de este Reglamento</w:t>
      </w:r>
      <w:r w:rsidRPr="00CE23C5">
        <w:rPr>
          <w:rFonts w:ascii="Arial" w:eastAsia="Times New Roman" w:hAnsi="Arial" w:cs="Arial"/>
          <w:sz w:val="18"/>
          <w:szCs w:val="24"/>
          <w:highlight w:val="yellow"/>
          <w:lang w:val="es-ES" w:eastAsia="es-ES"/>
        </w:rPr>
        <w:t>.</w:t>
      </w:r>
    </w:p>
    <w:p w:rsidR="009E4EBF" w:rsidRPr="009E4EBF" w:rsidRDefault="009E4EBF" w:rsidP="009E4EBF">
      <w:pPr>
        <w:spacing w:after="64" w:line="240" w:lineRule="auto"/>
        <w:ind w:left="864" w:hanging="576"/>
        <w:jc w:val="both"/>
        <w:rPr>
          <w:rFonts w:ascii="Arial" w:eastAsia="Times New Roman" w:hAnsi="Arial" w:cs="Arial"/>
          <w:sz w:val="18"/>
          <w:szCs w:val="24"/>
          <w:lang w:val="es-ES" w:eastAsia="es-ES"/>
        </w:rPr>
      </w:pPr>
      <w:r w:rsidRPr="009E4EBF">
        <w:rPr>
          <w:rFonts w:ascii="Arial" w:eastAsia="Times New Roman" w:hAnsi="Arial" w:cs="Arial"/>
          <w:sz w:val="18"/>
          <w:szCs w:val="24"/>
          <w:lang w:val="es-ES" w:eastAsia="es-ES"/>
        </w:rPr>
        <w:tab/>
        <w:t>El formato a que se refiere el primer párrafo de esta fracción deberá estar firmado por el secretario técnico, quien será responsable de que la información contenida en el mismo corresponda a la proporcionada por las áreas respectivas;</w:t>
      </w:r>
    </w:p>
    <w:p w:rsidR="009E4EBF" w:rsidRPr="009E4EBF" w:rsidRDefault="009E4EBF" w:rsidP="009E4EBF">
      <w:pPr>
        <w:spacing w:after="47" w:line="240" w:lineRule="auto"/>
        <w:ind w:left="864" w:hanging="576"/>
        <w:jc w:val="both"/>
        <w:rPr>
          <w:rFonts w:ascii="Arial" w:eastAsia="Times New Roman" w:hAnsi="Arial" w:cs="Arial"/>
          <w:sz w:val="18"/>
          <w:szCs w:val="20"/>
          <w:lang w:val="es-ES" w:eastAsia="es-ES"/>
        </w:rPr>
      </w:pPr>
      <w:r w:rsidRPr="009E4EBF">
        <w:rPr>
          <w:rFonts w:ascii="Arial" w:eastAsia="Times New Roman" w:hAnsi="Arial" w:cs="Arial"/>
          <w:b/>
          <w:sz w:val="18"/>
          <w:szCs w:val="20"/>
          <w:lang w:val="es-ES" w:eastAsia="es-ES"/>
        </w:rPr>
        <w:t>VI.</w:t>
      </w:r>
      <w:r w:rsidRPr="009E4EBF">
        <w:rPr>
          <w:rFonts w:ascii="Arial" w:eastAsia="Times New Roman" w:hAnsi="Arial" w:cs="Arial"/>
          <w:b/>
          <w:sz w:val="18"/>
          <w:szCs w:val="20"/>
          <w:lang w:val="es-ES" w:eastAsia="es-ES"/>
        </w:rPr>
        <w:tab/>
      </w:r>
      <w:r w:rsidRPr="00CE23C5">
        <w:rPr>
          <w:rFonts w:ascii="Arial" w:eastAsia="Times New Roman" w:hAnsi="Arial" w:cs="Arial"/>
          <w:b/>
          <w:i/>
          <w:sz w:val="18"/>
          <w:szCs w:val="20"/>
          <w:highlight w:val="yellow"/>
          <w:u w:val="single"/>
          <w:lang w:val="es-ES" w:eastAsia="es-ES"/>
        </w:rPr>
        <w:t>Una vez que el asunto sea analizado y dictaminado por el Comité, el formato a que se refiere la fracción anterior deberá ser firmado, en la propia sesión, por cada asistente con derecho a voto</w:t>
      </w:r>
      <w:bookmarkStart w:id="0" w:name="_GoBack"/>
      <w:bookmarkEnd w:id="0"/>
      <w:r w:rsidRPr="009E4EBF">
        <w:rPr>
          <w:rFonts w:ascii="Arial" w:eastAsia="Times New Roman" w:hAnsi="Arial" w:cs="Arial"/>
          <w:sz w:val="18"/>
          <w:szCs w:val="20"/>
          <w:lang w:val="es-ES" w:eastAsia="es-ES"/>
        </w:rPr>
        <w:t>.</w:t>
      </w:r>
    </w:p>
    <w:p w:rsidR="009E4EBF" w:rsidRPr="009E4EBF" w:rsidRDefault="009E4EBF" w:rsidP="009E4EBF">
      <w:pPr>
        <w:spacing w:after="47" w:line="240" w:lineRule="auto"/>
        <w:ind w:left="864" w:hanging="576"/>
        <w:jc w:val="both"/>
        <w:rPr>
          <w:rFonts w:ascii="Arial" w:eastAsia="Times New Roman" w:hAnsi="Arial" w:cs="Arial"/>
          <w:sz w:val="18"/>
          <w:szCs w:val="20"/>
          <w:lang w:val="es-ES" w:eastAsia="es-ES"/>
        </w:rPr>
      </w:pPr>
      <w:r w:rsidRPr="009E4EBF">
        <w:rPr>
          <w:rFonts w:ascii="Arial" w:eastAsia="Times New Roman" w:hAnsi="Arial" w:cs="Arial"/>
          <w:sz w:val="18"/>
          <w:szCs w:val="20"/>
          <w:lang w:val="es-ES" w:eastAsia="es-ES"/>
        </w:rPr>
        <w:tab/>
        <w:t>Cuando de la solicitud de excepción a la licitación pública o documentación soporte presentada por el Área requirente, o bien del asunto presentado, no se desprendan, a juicio del Comité, elementos suficientes para dictaminar el asunto de que se trate, éste deberá ser rechazado, lo cual quedará asentado en el acta respectiva, sin que ello impida que el asunto pueda ser presentado en una subsecuente ocasión a consideración del Comité, una vez que se subsanen las deficiencias observadas o señaladas por éste.</w:t>
      </w:r>
    </w:p>
    <w:p w:rsidR="009E4EBF" w:rsidRPr="009E4EBF" w:rsidRDefault="009E4EBF" w:rsidP="009E4EBF">
      <w:pPr>
        <w:spacing w:after="47" w:line="240" w:lineRule="auto"/>
        <w:ind w:left="864" w:hanging="576"/>
        <w:jc w:val="both"/>
        <w:rPr>
          <w:rFonts w:ascii="Arial" w:eastAsia="Times New Roman" w:hAnsi="Arial" w:cs="Arial"/>
          <w:sz w:val="18"/>
          <w:szCs w:val="24"/>
          <w:lang w:val="es-ES" w:eastAsia="es-ES"/>
        </w:rPr>
      </w:pPr>
      <w:r w:rsidRPr="009E4EBF">
        <w:rPr>
          <w:rFonts w:ascii="Arial" w:eastAsia="Times New Roman" w:hAnsi="Arial" w:cs="Arial"/>
          <w:sz w:val="18"/>
          <w:szCs w:val="24"/>
          <w:lang w:val="es-ES" w:eastAsia="es-ES"/>
        </w:rPr>
        <w:tab/>
        <w:t>En ningún caso el Comité podrá emitir su dictamen condicionado a que se cumplan determinados requisitos o a que se obtenga documentación que sustente o justifique la contratación que se pretenda realizar.</w:t>
      </w:r>
    </w:p>
    <w:p w:rsidR="009E4EBF" w:rsidRPr="009E4EBF" w:rsidRDefault="009E4EBF" w:rsidP="009E4EBF">
      <w:pPr>
        <w:spacing w:after="47" w:line="240" w:lineRule="auto"/>
        <w:ind w:left="864" w:hanging="576"/>
        <w:jc w:val="both"/>
        <w:rPr>
          <w:rFonts w:ascii="Arial" w:eastAsia="Times New Roman" w:hAnsi="Arial" w:cs="Arial"/>
          <w:sz w:val="18"/>
          <w:szCs w:val="24"/>
          <w:lang w:val="es-ES" w:eastAsia="es-ES"/>
        </w:rPr>
      </w:pPr>
      <w:r w:rsidRPr="009E4EBF">
        <w:rPr>
          <w:rFonts w:ascii="Arial" w:eastAsia="Times New Roman" w:hAnsi="Arial" w:cs="Arial"/>
          <w:sz w:val="18"/>
          <w:szCs w:val="24"/>
          <w:lang w:val="es-ES" w:eastAsia="es-ES"/>
        </w:rPr>
        <w:tab/>
        <w:t>Los dictámenes de procedencia a las excepciones a la licitación pública que emita el Comité, no implican responsabilidad alguna para los miembros del Comité respecto de las acciones u omisiones que posteriormente se generen durante el desarrollo de los procedimientos de contratación o en el cumplimiento de los contratos;</w:t>
      </w:r>
    </w:p>
    <w:p w:rsidR="009E4EBF" w:rsidRPr="009E4EBF" w:rsidRDefault="009E4EBF" w:rsidP="009E4EBF">
      <w:pPr>
        <w:spacing w:after="47" w:line="240" w:lineRule="auto"/>
        <w:ind w:left="864" w:hanging="576"/>
        <w:jc w:val="both"/>
        <w:rPr>
          <w:rFonts w:ascii="Arial" w:eastAsia="Times New Roman" w:hAnsi="Arial" w:cs="Arial"/>
          <w:sz w:val="18"/>
          <w:szCs w:val="20"/>
          <w:lang w:val="es-ES" w:eastAsia="es-ES"/>
        </w:rPr>
      </w:pPr>
      <w:r w:rsidRPr="009E4EBF">
        <w:rPr>
          <w:rFonts w:ascii="Arial" w:eastAsia="Times New Roman" w:hAnsi="Arial" w:cs="Arial"/>
          <w:b/>
          <w:sz w:val="18"/>
          <w:szCs w:val="20"/>
          <w:lang w:val="es-ES" w:eastAsia="es-ES"/>
        </w:rPr>
        <w:t>VII.</w:t>
      </w:r>
      <w:r w:rsidRPr="009E4EBF">
        <w:rPr>
          <w:rFonts w:ascii="Arial" w:eastAsia="Times New Roman" w:hAnsi="Arial" w:cs="Arial"/>
          <w:sz w:val="18"/>
          <w:szCs w:val="20"/>
          <w:lang w:val="es-ES" w:eastAsia="es-ES"/>
        </w:rPr>
        <w:tab/>
        <w:t>De cada sesión se elaborará acta que será aprobada y firmada por todos los que hubieran asistido a ella, a más tardar en la sesión inmediata posterior. En dicha acta se deberá señalar el sentido de los acuerdos tomados por los miembros con derecho a voto y, en su caso, los comentarios relevantes de cada asunto. Los asesores y los invitados firmarán únicamente el acta como constancia de su asistencia o participación y como validación de sus comentarios. La copia del acta debidamente firmada deberá ser integrada en la carpeta de la siguiente sesión;</w:t>
      </w:r>
    </w:p>
    <w:p w:rsidR="009E4EBF" w:rsidRPr="009E4EBF" w:rsidRDefault="009E4EBF" w:rsidP="009E4EBF">
      <w:pPr>
        <w:spacing w:after="47" w:line="240" w:lineRule="auto"/>
        <w:ind w:left="864" w:hanging="576"/>
        <w:jc w:val="both"/>
        <w:rPr>
          <w:rFonts w:ascii="Arial" w:eastAsia="Times New Roman" w:hAnsi="Arial" w:cs="Arial"/>
          <w:sz w:val="18"/>
          <w:szCs w:val="20"/>
          <w:lang w:val="es-ES" w:eastAsia="es-ES"/>
        </w:rPr>
      </w:pPr>
      <w:r w:rsidRPr="009E4EBF">
        <w:rPr>
          <w:rFonts w:ascii="Arial" w:eastAsia="Times New Roman" w:hAnsi="Arial" w:cs="Arial"/>
          <w:b/>
          <w:sz w:val="18"/>
          <w:szCs w:val="20"/>
          <w:lang w:val="es-ES" w:eastAsia="es-ES"/>
        </w:rPr>
        <w:t>VIII.</w:t>
      </w:r>
      <w:r w:rsidRPr="009E4EBF">
        <w:rPr>
          <w:rFonts w:ascii="Arial" w:eastAsia="Times New Roman" w:hAnsi="Arial" w:cs="Arial"/>
          <w:b/>
          <w:sz w:val="18"/>
          <w:szCs w:val="20"/>
          <w:lang w:val="es-ES" w:eastAsia="es-ES"/>
        </w:rPr>
        <w:tab/>
      </w:r>
      <w:r w:rsidRPr="009E4EBF">
        <w:rPr>
          <w:rFonts w:ascii="Arial" w:eastAsia="Times New Roman" w:hAnsi="Arial" w:cs="Arial"/>
          <w:sz w:val="18"/>
          <w:szCs w:val="20"/>
          <w:lang w:val="es-ES" w:eastAsia="es-ES"/>
        </w:rPr>
        <w:t>El orden del día de las sesiones ordinarias contendrá un apartado correspondiente al seguimiento de los acuerdos emitidos en las sesiones anteriores. En el punto correspondiente a asuntos generales sólo podrán incluirse asuntos de carácter informativo;</w:t>
      </w:r>
    </w:p>
    <w:p w:rsidR="009E4EBF" w:rsidRPr="009E4EBF" w:rsidRDefault="009E4EBF" w:rsidP="009E4EBF">
      <w:pPr>
        <w:spacing w:after="47" w:line="240" w:lineRule="auto"/>
        <w:ind w:left="864" w:hanging="576"/>
        <w:jc w:val="both"/>
        <w:rPr>
          <w:rFonts w:ascii="Arial" w:eastAsia="Times New Roman" w:hAnsi="Arial" w:cs="Arial"/>
          <w:sz w:val="18"/>
          <w:szCs w:val="20"/>
          <w:lang w:val="es-ES" w:eastAsia="es-ES"/>
        </w:rPr>
      </w:pPr>
      <w:r w:rsidRPr="009E4EBF">
        <w:rPr>
          <w:rFonts w:ascii="Arial" w:eastAsia="Times New Roman" w:hAnsi="Arial" w:cs="Arial"/>
          <w:b/>
          <w:sz w:val="18"/>
          <w:szCs w:val="20"/>
          <w:lang w:val="es-ES" w:eastAsia="es-ES"/>
        </w:rPr>
        <w:lastRenderedPageBreak/>
        <w:t>IX.</w:t>
      </w:r>
      <w:r w:rsidRPr="009E4EBF">
        <w:rPr>
          <w:rFonts w:ascii="Arial" w:eastAsia="Times New Roman" w:hAnsi="Arial" w:cs="Arial"/>
          <w:b/>
          <w:sz w:val="18"/>
          <w:szCs w:val="20"/>
          <w:lang w:val="es-ES" w:eastAsia="es-ES"/>
        </w:rPr>
        <w:tab/>
      </w:r>
      <w:r w:rsidRPr="009E4EBF">
        <w:rPr>
          <w:rFonts w:ascii="Arial" w:eastAsia="Times New Roman" w:hAnsi="Arial" w:cs="Arial"/>
          <w:sz w:val="18"/>
          <w:szCs w:val="20"/>
          <w:lang w:val="es-ES" w:eastAsia="es-ES"/>
        </w:rPr>
        <w:t>En la última sesión de cada ejercicio fiscal se presentará a consideración del Comité el calendario de sesiones ordinarias del siguiente ejercicio.</w:t>
      </w:r>
    </w:p>
    <w:p w:rsidR="009E4EBF" w:rsidRPr="009E4EBF" w:rsidRDefault="009E4EBF" w:rsidP="009E4EBF">
      <w:pPr>
        <w:spacing w:after="47" w:line="240" w:lineRule="auto"/>
        <w:ind w:left="864" w:hanging="576"/>
        <w:jc w:val="both"/>
        <w:rPr>
          <w:rFonts w:ascii="Arial" w:eastAsia="Times New Roman" w:hAnsi="Arial" w:cs="Arial"/>
          <w:sz w:val="18"/>
          <w:szCs w:val="24"/>
          <w:lang w:val="es-ES" w:eastAsia="es-ES"/>
        </w:rPr>
      </w:pPr>
      <w:r w:rsidRPr="009E4EBF">
        <w:rPr>
          <w:rFonts w:ascii="Arial" w:eastAsia="Times New Roman" w:hAnsi="Arial" w:cs="Arial"/>
          <w:sz w:val="18"/>
          <w:szCs w:val="24"/>
          <w:lang w:val="es-ES" w:eastAsia="es-ES"/>
        </w:rPr>
        <w:tab/>
        <w:t xml:space="preserve">En la primera sesión ordinaria del ejercicio fiscal se analizará, previo a su difusión en </w:t>
      </w:r>
      <w:proofErr w:type="spellStart"/>
      <w:r w:rsidRPr="009E4EBF">
        <w:rPr>
          <w:rFonts w:ascii="Arial" w:eastAsia="Times New Roman" w:hAnsi="Arial" w:cs="Arial"/>
          <w:sz w:val="18"/>
          <w:szCs w:val="24"/>
          <w:lang w:val="es-ES" w:eastAsia="es-ES"/>
        </w:rPr>
        <w:t>CompraNet</w:t>
      </w:r>
      <w:proofErr w:type="spellEnd"/>
      <w:r w:rsidRPr="009E4EBF">
        <w:rPr>
          <w:rFonts w:ascii="Arial" w:eastAsia="Times New Roman" w:hAnsi="Arial" w:cs="Arial"/>
          <w:sz w:val="18"/>
          <w:szCs w:val="24"/>
          <w:lang w:val="es-ES" w:eastAsia="es-ES"/>
        </w:rPr>
        <w:t xml:space="preserve"> y en la página de Internet de la dependencia o entidad, el programa anual de obras y servicios autorizado y se </w:t>
      </w:r>
      <w:r w:rsidRPr="009E4EBF">
        <w:rPr>
          <w:rFonts w:ascii="Arial" w:eastAsia="Times New Roman" w:hAnsi="Arial" w:cs="Arial"/>
          <w:sz w:val="18"/>
          <w:szCs w:val="24"/>
          <w:lang w:eastAsia="es-ES"/>
        </w:rPr>
        <w:t>determinará la ubicación de la dependencia o entidad en</w:t>
      </w:r>
      <w:r w:rsidRPr="009E4EBF">
        <w:rPr>
          <w:rFonts w:ascii="Arial" w:eastAsia="Times New Roman" w:hAnsi="Arial" w:cs="Arial"/>
          <w:sz w:val="18"/>
          <w:szCs w:val="24"/>
          <w:lang w:val="es-ES" w:eastAsia="es-ES"/>
        </w:rPr>
        <w:t xml:space="preserve"> los rangos de los montos máximos a que alude el artículo 43 de la Ley, a partir del presupuesto autorizado a la dependencia o entidad para obras y servicios, y</w:t>
      </w:r>
    </w:p>
    <w:p w:rsidR="009E4EBF" w:rsidRPr="009E4EBF" w:rsidRDefault="009E4EBF" w:rsidP="009E4EBF">
      <w:pPr>
        <w:spacing w:after="47" w:line="240" w:lineRule="auto"/>
        <w:ind w:left="864" w:hanging="576"/>
        <w:jc w:val="both"/>
        <w:rPr>
          <w:rFonts w:ascii="Arial" w:eastAsia="Times New Roman" w:hAnsi="Arial" w:cs="Arial"/>
          <w:sz w:val="18"/>
          <w:szCs w:val="20"/>
          <w:lang w:val="es-ES" w:eastAsia="es-ES"/>
        </w:rPr>
      </w:pPr>
      <w:r w:rsidRPr="009E4EBF">
        <w:rPr>
          <w:rFonts w:ascii="Arial" w:eastAsia="Times New Roman" w:hAnsi="Arial" w:cs="Arial"/>
          <w:b/>
          <w:sz w:val="18"/>
          <w:szCs w:val="20"/>
          <w:lang w:val="es-ES" w:eastAsia="es-ES"/>
        </w:rPr>
        <w:t>X.</w:t>
      </w:r>
      <w:r w:rsidRPr="009E4EBF">
        <w:rPr>
          <w:rFonts w:ascii="Arial" w:eastAsia="Times New Roman" w:hAnsi="Arial" w:cs="Arial"/>
          <w:b/>
          <w:sz w:val="18"/>
          <w:szCs w:val="20"/>
          <w:lang w:val="es-ES" w:eastAsia="es-ES"/>
        </w:rPr>
        <w:tab/>
      </w:r>
      <w:r w:rsidRPr="009E4EBF">
        <w:rPr>
          <w:rFonts w:ascii="Arial" w:eastAsia="Times New Roman" w:hAnsi="Arial" w:cs="Arial"/>
          <w:sz w:val="18"/>
          <w:szCs w:val="20"/>
          <w:lang w:val="es-ES" w:eastAsia="es-ES"/>
        </w:rPr>
        <w:t>El contenido de la información y documentación que se someta a la consideración del Comité serán de la exclusiva responsabilidad del área que las formule.</w:t>
      </w:r>
    </w:p>
    <w:p w:rsidR="009E4EBF" w:rsidRPr="009E4EBF" w:rsidRDefault="009E4EBF" w:rsidP="00692AD0">
      <w:pPr>
        <w:spacing w:after="64" w:line="240" w:lineRule="auto"/>
        <w:ind w:firstLine="288"/>
        <w:jc w:val="both"/>
        <w:rPr>
          <w:rFonts w:ascii="Arial" w:eastAsia="Times New Roman" w:hAnsi="Arial" w:cs="Arial"/>
          <w:b/>
          <w:sz w:val="18"/>
          <w:szCs w:val="24"/>
          <w:lang w:val="es-ES" w:eastAsia="es-ES"/>
        </w:rPr>
      </w:pPr>
    </w:p>
    <w:sectPr w:rsidR="009E4EBF" w:rsidRPr="009E4EBF">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142C"/>
    <w:rsid w:val="00111CA8"/>
    <w:rsid w:val="002815CE"/>
    <w:rsid w:val="00413DB3"/>
    <w:rsid w:val="00457BE9"/>
    <w:rsid w:val="00473543"/>
    <w:rsid w:val="00495979"/>
    <w:rsid w:val="00692AD0"/>
    <w:rsid w:val="006950E2"/>
    <w:rsid w:val="006F7B91"/>
    <w:rsid w:val="00800CAE"/>
    <w:rsid w:val="00923585"/>
    <w:rsid w:val="009E4EBF"/>
    <w:rsid w:val="00B32B83"/>
    <w:rsid w:val="00CE23C5"/>
    <w:rsid w:val="00EE42A6"/>
    <w:rsid w:val="00F020DB"/>
    <w:rsid w:val="00F5142C"/>
    <w:rsid w:val="00F719B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exto">
    <w:name w:val="Texto"/>
    <w:basedOn w:val="Normal"/>
    <w:rsid w:val="00F5142C"/>
    <w:pPr>
      <w:spacing w:after="101" w:line="216" w:lineRule="exact"/>
      <w:ind w:firstLine="288"/>
      <w:jc w:val="both"/>
    </w:pPr>
    <w:rPr>
      <w:rFonts w:ascii="Arial" w:eastAsia="Times New Roman" w:hAnsi="Arial" w:cs="Arial"/>
      <w:sz w:val="18"/>
      <w:szCs w:val="20"/>
      <w:lang w:val="es-ES" w:eastAsia="es-ES"/>
    </w:rPr>
  </w:style>
  <w:style w:type="paragraph" w:customStyle="1" w:styleId="Titulo1">
    <w:name w:val="Titulo 1"/>
    <w:basedOn w:val="Texto"/>
    <w:rsid w:val="00F5142C"/>
    <w:pPr>
      <w:pBdr>
        <w:bottom w:val="single" w:sz="12" w:space="1" w:color="auto"/>
      </w:pBdr>
      <w:spacing w:before="120" w:after="0" w:line="240" w:lineRule="auto"/>
      <w:ind w:firstLine="0"/>
      <w:outlineLvl w:val="0"/>
    </w:pPr>
    <w:rPr>
      <w:rFonts w:ascii="Times New Roman" w:hAnsi="Times New Roman"/>
      <w:b/>
      <w:szCs w:val="18"/>
      <w:lang w:val="es-MX" w:eastAsia="es-MX"/>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exto">
    <w:name w:val="Texto"/>
    <w:basedOn w:val="Normal"/>
    <w:rsid w:val="00F5142C"/>
    <w:pPr>
      <w:spacing w:after="101" w:line="216" w:lineRule="exact"/>
      <w:ind w:firstLine="288"/>
      <w:jc w:val="both"/>
    </w:pPr>
    <w:rPr>
      <w:rFonts w:ascii="Arial" w:eastAsia="Times New Roman" w:hAnsi="Arial" w:cs="Arial"/>
      <w:sz w:val="18"/>
      <w:szCs w:val="20"/>
      <w:lang w:val="es-ES" w:eastAsia="es-ES"/>
    </w:rPr>
  </w:style>
  <w:style w:type="paragraph" w:customStyle="1" w:styleId="Titulo1">
    <w:name w:val="Titulo 1"/>
    <w:basedOn w:val="Texto"/>
    <w:rsid w:val="00F5142C"/>
    <w:pPr>
      <w:pBdr>
        <w:bottom w:val="single" w:sz="12" w:space="1" w:color="auto"/>
      </w:pBdr>
      <w:spacing w:before="120" w:after="0" w:line="240" w:lineRule="auto"/>
      <w:ind w:firstLine="0"/>
      <w:outlineLvl w:val="0"/>
    </w:pPr>
    <w:rPr>
      <w:rFonts w:ascii="Times New Roman" w:hAnsi="Times New Roman"/>
      <w:b/>
      <w:szCs w:val="18"/>
      <w:lang w:val="es-MX"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785</Words>
  <Characters>4320</Characters>
  <Application>Microsoft Office Word</Application>
  <DocSecurity>0</DocSecurity>
  <Lines>36</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5095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Miguel Angel Cardenas de la Peña</dc:creator>
  <cp:lastModifiedBy>Miguel Angel Cardenas de la Peña</cp:lastModifiedBy>
  <cp:revision>3</cp:revision>
  <dcterms:created xsi:type="dcterms:W3CDTF">2013-04-09T20:54:00Z</dcterms:created>
  <dcterms:modified xsi:type="dcterms:W3CDTF">2013-04-16T17:27:00Z</dcterms:modified>
</cp:coreProperties>
</file>